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35129">
      <w:pPr>
        <w:spacing w:line="360" w:lineRule="auto"/>
        <w:jc w:val="center"/>
        <w:rPr>
          <w:rFonts w:hint="eastAsia" w:ascii="宋体" w:hAnsi="宋体" w:eastAsia="宋体" w:cs="宋体"/>
          <w:b/>
          <w:bCs/>
          <w:sz w:val="36"/>
          <w:szCs w:val="36"/>
          <w:lang w:val="en-US" w:eastAsia="zh-CN"/>
        </w:rPr>
      </w:pPr>
      <w:r>
        <w:rPr>
          <w:rFonts w:hint="eastAsia" w:ascii="黑体" w:hAnsi="黑体" w:eastAsia="黑体" w:cs="黑体"/>
          <w:b w:val="0"/>
          <w:bCs w:val="0"/>
          <w:sz w:val="36"/>
          <w:szCs w:val="36"/>
          <w:lang w:val="en-US" w:eastAsia="zh-CN"/>
        </w:rPr>
        <w:t>《蔬菜分级标准 西兰花》编制说明</w:t>
      </w:r>
    </w:p>
    <w:p w14:paraId="45014F55">
      <w:pPr>
        <w:numPr>
          <w:ilvl w:val="0"/>
          <w:numId w:val="0"/>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一、基本情况</w:t>
      </w:r>
    </w:p>
    <w:p w14:paraId="01203778">
      <w:pPr>
        <w:numPr>
          <w:ilvl w:val="0"/>
          <w:numId w:val="0"/>
        </w:num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（一）任务来源</w:t>
      </w:r>
    </w:p>
    <w:p w14:paraId="2D8D3CD8">
      <w:pPr>
        <w:numPr>
          <w:ilvl w:val="0"/>
          <w:numId w:val="0"/>
        </w:numPr>
        <w:spacing w:line="360" w:lineRule="auto"/>
        <w:ind w:firstLine="64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为贯彻落实中共中央办公厅</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国务院办公厅印发</w:t>
      </w:r>
      <w:r>
        <w:rPr>
          <w:rFonts w:hint="eastAsia" w:eastAsia="仿宋_GB2312" w:cs="Times New Roman"/>
          <w:sz w:val="32"/>
          <w:szCs w:val="32"/>
          <w:highlight w:val="none"/>
          <w:lang w:val="en-US" w:eastAsia="zh-CN"/>
        </w:rPr>
        <w:t>的</w:t>
      </w:r>
      <w:r>
        <w:rPr>
          <w:rFonts w:hint="default" w:eastAsia="仿宋_GB2312" w:cs="Times New Roman"/>
          <w:sz w:val="32"/>
          <w:szCs w:val="32"/>
          <w:highlight w:val="none"/>
          <w:lang w:val="en-US" w:eastAsia="zh-CN"/>
        </w:rPr>
        <w:t>《提振消费专项行动方案》，按照农业农村部等十部委</w:t>
      </w:r>
      <w:r>
        <w:rPr>
          <w:rFonts w:hint="eastAsia" w:eastAsia="仿宋_GB2312" w:cs="Times New Roman"/>
          <w:sz w:val="32"/>
          <w:szCs w:val="32"/>
          <w:highlight w:val="none"/>
          <w:lang w:val="en-US" w:eastAsia="zh-CN"/>
        </w:rPr>
        <w:t>在</w:t>
      </w:r>
      <w:r>
        <w:rPr>
          <w:rFonts w:hint="default" w:eastAsia="仿宋_GB2312" w:cs="Times New Roman"/>
          <w:sz w:val="32"/>
          <w:szCs w:val="32"/>
          <w:highlight w:val="none"/>
          <w:lang w:val="en-US" w:eastAsia="zh-CN"/>
        </w:rPr>
        <w:t>《促进农产品消费实施方案》</w:t>
      </w:r>
      <w:r>
        <w:rPr>
          <w:rFonts w:hint="eastAsia" w:eastAsia="仿宋_GB2312" w:cs="Times New Roman"/>
          <w:sz w:val="32"/>
          <w:szCs w:val="32"/>
          <w:highlight w:val="none"/>
          <w:lang w:val="en-US" w:eastAsia="zh-CN"/>
        </w:rPr>
        <w:t>中对推进品质评价和质量分级</w:t>
      </w:r>
      <w:r>
        <w:rPr>
          <w:rFonts w:hint="default" w:eastAsia="仿宋_GB2312" w:cs="Times New Roman"/>
          <w:sz w:val="32"/>
          <w:szCs w:val="32"/>
          <w:highlight w:val="none"/>
          <w:lang w:val="en-US" w:eastAsia="zh-CN"/>
        </w:rPr>
        <w:t>的高位部署和广东省委“1310”的具体部署，深圳充分发挥在产业、创新、市场等方面优势，通过成立深圳农产品质量提升联盟，汇集整合全市优质资源，研制高品质农产品质量分级标准。根据《深圳市农产品质量分级试点工作方案》有关要求，标准研制组围绕市场需求，对标高品质</w:t>
      </w:r>
      <w:r>
        <w:rPr>
          <w:rFonts w:hint="eastAsia" w:eastAsia="仿宋_GB2312" w:cs="Times New Roman"/>
          <w:sz w:val="32"/>
          <w:szCs w:val="32"/>
          <w:highlight w:val="none"/>
          <w:lang w:val="en-US" w:eastAsia="zh-CN"/>
        </w:rPr>
        <w:t>西兰花</w:t>
      </w:r>
      <w:r>
        <w:rPr>
          <w:rFonts w:hint="default" w:eastAsia="仿宋_GB2312" w:cs="Times New Roman"/>
          <w:sz w:val="32"/>
          <w:szCs w:val="32"/>
          <w:highlight w:val="none"/>
          <w:lang w:val="en-US" w:eastAsia="zh-CN"/>
        </w:rPr>
        <w:t>品质标准关键指标，研制高于国家标准、符合产业实际的西兰花分级标准。</w:t>
      </w:r>
      <w:bookmarkStart w:id="0" w:name="_GoBack"/>
      <w:bookmarkEnd w:id="0"/>
    </w:p>
    <w:p w14:paraId="060A2F6B">
      <w:pPr>
        <w:numPr>
          <w:ilvl w:val="0"/>
          <w:numId w:val="1"/>
        </w:num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起草单位、起草人</w:t>
      </w:r>
    </w:p>
    <w:p w14:paraId="13AC4407">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起草单位：深圳市茂雄万家农副产品有限公司、深圳市中鼎检测技术有限公司、广东省中鼎检测技术有限公司、泉州市鼎凯检测技术有限公司、深圳市农业产业化龙头企业协会</w:t>
      </w:r>
    </w:p>
    <w:p w14:paraId="70DD96A0">
      <w:pPr>
        <w:numPr>
          <w:ilvl w:val="0"/>
          <w:numId w:val="0"/>
        </w:numPr>
        <w:tabs>
          <w:tab w:val="left" w:pos="210"/>
        </w:tabs>
        <w:spacing w:line="240" w:lineRule="auto"/>
        <w:ind w:left="0" w:leftChars="0" w:firstLine="640" w:firstLineChars="200"/>
        <w:jc w:val="left"/>
        <w:rPr>
          <w:rFonts w:hint="default" w:ascii="仿宋_GB2312" w:hAnsi="Times New Roman" w:eastAsia="仿宋_GB2312" w:cs="Times New Roman"/>
          <w:kern w:val="2"/>
          <w:sz w:val="32"/>
          <w:szCs w:val="32"/>
          <w:highlight w:val="yellow"/>
          <w:lang w:val="en-US" w:eastAsia="zh-CN" w:bidi="ar-SA"/>
        </w:rPr>
      </w:pPr>
      <w:r>
        <w:rPr>
          <w:rFonts w:hint="eastAsia" w:ascii="仿宋_GB2312" w:eastAsia="仿宋_GB2312" w:cs="Times New Roman"/>
          <w:kern w:val="2"/>
          <w:sz w:val="32"/>
          <w:szCs w:val="32"/>
          <w:lang w:val="en-US" w:eastAsia="zh-CN" w:bidi="ar-SA"/>
        </w:rPr>
        <w:t>主要</w:t>
      </w:r>
      <w:r>
        <w:rPr>
          <w:rFonts w:hint="eastAsia" w:ascii="仿宋_GB2312" w:hAnsi="Times New Roman" w:eastAsia="仿宋_GB2312" w:cs="Times New Roman"/>
          <w:kern w:val="2"/>
          <w:sz w:val="32"/>
          <w:szCs w:val="32"/>
          <w:lang w:val="en-US" w:eastAsia="zh-CN" w:bidi="ar-SA"/>
        </w:rPr>
        <w:t>起草人：XXXXXX</w:t>
      </w:r>
    </w:p>
    <w:p w14:paraId="47FB053A">
      <w:pPr>
        <w:numPr>
          <w:ilvl w:val="0"/>
          <w:numId w:val="1"/>
        </w:numPr>
        <w:spacing w:line="360" w:lineRule="auto"/>
        <w:ind w:left="0" w:leftChars="0" w:firstLine="64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立项背景和意义</w:t>
      </w:r>
    </w:p>
    <w:p w14:paraId="5982E7F3">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为适应当前农产品消费结构升级大趋势，完善农产品质量分级标准体系，建立以品质提升为核心的农产品质量分级机制，研制包括西兰花在内的农产品质量分级标准。本标准将在深圳市农产品质量提升联盟内应用，并逐步向社会推广，推动西兰花产业提档升级。</w:t>
      </w:r>
    </w:p>
    <w:p w14:paraId="2B6E2C33">
      <w:pPr>
        <w:numPr>
          <w:ilvl w:val="0"/>
          <w:numId w:val="0"/>
        </w:numPr>
        <w:spacing w:line="360" w:lineRule="auto"/>
        <w:ind w:left="640" w:leftChars="0"/>
        <w:rPr>
          <w:rFonts w:hint="default" w:ascii="仿宋_GB2312" w:eastAsia="仿宋_GB2312"/>
          <w:sz w:val="32"/>
          <w:szCs w:val="32"/>
          <w:lang w:val="en-US" w:eastAsia="zh-CN"/>
        </w:rPr>
      </w:pPr>
      <w:r>
        <w:rPr>
          <w:rFonts w:hint="eastAsia" w:ascii="仿宋_GB2312" w:eastAsia="仿宋_GB2312"/>
          <w:sz w:val="32"/>
          <w:szCs w:val="32"/>
          <w:lang w:val="en-US" w:eastAsia="zh-CN"/>
        </w:rPr>
        <w:t>（四）简要起草过程</w:t>
      </w:r>
    </w:p>
    <w:p w14:paraId="09C2E839">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接到项目委托任务后，我</w:t>
      </w:r>
      <w:r>
        <w:rPr>
          <w:rFonts w:hint="eastAsia" w:ascii="仿宋_GB2312" w:hAnsi="仿宋_GB2312" w:eastAsia="仿宋_GB2312" w:cs="仿宋_GB2312"/>
          <w:sz w:val="32"/>
          <w:szCs w:val="32"/>
          <w:lang w:val="en-US" w:eastAsia="zh-CN"/>
        </w:rPr>
        <w:t>司</w:t>
      </w:r>
      <w:r>
        <w:rPr>
          <w:rFonts w:hint="eastAsia" w:ascii="仿宋_GB2312" w:hAnsi="仿宋_GB2312" w:eastAsia="仿宋_GB2312" w:cs="仿宋_GB2312"/>
          <w:sz w:val="32"/>
          <w:szCs w:val="32"/>
        </w:rPr>
        <w:t>即成立了</w:t>
      </w:r>
      <w:r>
        <w:rPr>
          <w:rFonts w:hint="eastAsia" w:ascii="仿宋_GB2312" w:hAnsi="仿宋_GB2312" w:eastAsia="仿宋_GB2312" w:cs="仿宋_GB2312"/>
          <w:sz w:val="32"/>
          <w:szCs w:val="32"/>
          <w:lang w:val="en-US" w:eastAsia="zh-CN"/>
        </w:rPr>
        <w:t>标准研制组</w:t>
      </w:r>
      <w:r>
        <w:rPr>
          <w:rFonts w:hint="eastAsia" w:ascii="仿宋_GB2312" w:hAnsi="仿宋_GB2312" w:eastAsia="仿宋_GB2312" w:cs="仿宋_GB2312"/>
          <w:sz w:val="32"/>
          <w:szCs w:val="32"/>
        </w:rPr>
        <w:t>，根据深圳市农产品质量提升联盟要求，制定了起草工作方案，并进行了分工落实，主要过程如下:</w:t>
      </w:r>
    </w:p>
    <w:p w14:paraId="339B0A2A">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第一步:进行国内外相关标准、论文等信息资料的查询，了解国内外标准及相关研究现状。</w:t>
      </w:r>
    </w:p>
    <w:p w14:paraId="08681901">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第二步:通过咨询、</w:t>
      </w:r>
      <w:r>
        <w:rPr>
          <w:rFonts w:hint="eastAsia" w:ascii="仿宋_GB2312" w:hAnsi="仿宋_GB2312" w:eastAsia="仿宋_GB2312" w:cs="仿宋_GB2312"/>
          <w:sz w:val="32"/>
          <w:szCs w:val="32"/>
          <w:lang w:val="en-US" w:eastAsia="zh-CN"/>
        </w:rPr>
        <w:t>组织蔬菜</w:t>
      </w:r>
      <w:r>
        <w:rPr>
          <w:rFonts w:hint="eastAsia" w:ascii="仿宋_GB2312" w:hAnsi="仿宋_GB2312" w:eastAsia="仿宋_GB2312" w:cs="仿宋_GB2312"/>
          <w:sz w:val="32"/>
          <w:szCs w:val="32"/>
          <w:lang w:eastAsia="zh-CN"/>
        </w:rPr>
        <w:t>分级动员会</w:t>
      </w:r>
      <w:r>
        <w:rPr>
          <w:rFonts w:hint="eastAsia" w:ascii="仿宋_GB2312" w:hAnsi="仿宋_GB2312" w:eastAsia="仿宋_GB2312" w:cs="仿宋_GB2312"/>
          <w:sz w:val="32"/>
          <w:szCs w:val="32"/>
        </w:rPr>
        <w:t>等形式对</w:t>
      </w:r>
      <w:r>
        <w:rPr>
          <w:rFonts w:hint="eastAsia" w:ascii="仿宋_GB2312" w:hAnsi="仿宋_GB2312" w:eastAsia="仿宋_GB2312" w:cs="仿宋_GB2312"/>
          <w:sz w:val="32"/>
          <w:szCs w:val="32"/>
          <w:lang w:val="en-US" w:eastAsia="zh-CN"/>
        </w:rPr>
        <w:t>西兰花</w:t>
      </w:r>
      <w:r>
        <w:rPr>
          <w:rFonts w:hint="eastAsia" w:ascii="仿宋_GB2312" w:hAnsi="仿宋_GB2312" w:eastAsia="仿宋_GB2312" w:cs="仿宋_GB2312"/>
          <w:sz w:val="32"/>
          <w:szCs w:val="32"/>
        </w:rPr>
        <w:t>相关生产</w:t>
      </w:r>
      <w:r>
        <w:rPr>
          <w:rFonts w:hint="eastAsia" w:ascii="仿宋_GB2312" w:hAnsi="仿宋_GB2312" w:eastAsia="仿宋_GB2312" w:cs="仿宋_GB2312"/>
          <w:sz w:val="32"/>
          <w:szCs w:val="32"/>
          <w:lang w:eastAsia="zh-CN"/>
        </w:rPr>
        <w:t>经营</w:t>
      </w:r>
      <w:r>
        <w:rPr>
          <w:rFonts w:hint="eastAsia" w:ascii="仿宋_GB2312" w:hAnsi="仿宋_GB2312" w:eastAsia="仿宋_GB2312" w:cs="仿宋_GB2312"/>
          <w:sz w:val="32"/>
          <w:szCs w:val="32"/>
        </w:rPr>
        <w:t>进行调研。</w:t>
      </w:r>
    </w:p>
    <w:p w14:paraId="23596C74">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第三步:根据国内</w:t>
      </w:r>
      <w:r>
        <w:rPr>
          <w:rFonts w:hint="eastAsia" w:ascii="仿宋_GB2312" w:hAnsi="仿宋_GB2312" w:eastAsia="仿宋_GB2312" w:cs="仿宋_GB2312"/>
          <w:sz w:val="32"/>
          <w:szCs w:val="32"/>
          <w:lang w:val="en-US" w:eastAsia="zh-CN"/>
        </w:rPr>
        <w:t>西兰花</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的生产现状，结合国内外</w:t>
      </w:r>
      <w:r>
        <w:rPr>
          <w:rFonts w:hint="eastAsia" w:ascii="仿宋_GB2312" w:hAnsi="仿宋_GB2312" w:eastAsia="仿宋_GB2312" w:cs="仿宋_GB2312"/>
          <w:sz w:val="32"/>
          <w:szCs w:val="32"/>
          <w:lang w:val="en-US" w:eastAsia="zh-CN"/>
        </w:rPr>
        <w:t>西兰花</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生产发展趋势，通过数据收集、样品采集、标准比对等，确定主要技术指标，编制标准征求意见稿。</w:t>
      </w:r>
    </w:p>
    <w:p w14:paraId="4C0FF7B8">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第四步:将征求意见稿在</w:t>
      </w:r>
      <w:r>
        <w:rPr>
          <w:rFonts w:hint="eastAsia" w:ascii="仿宋_GB2312" w:hAnsi="仿宋_GB2312" w:eastAsia="仿宋_GB2312" w:cs="仿宋_GB2312"/>
          <w:sz w:val="32"/>
          <w:szCs w:val="32"/>
          <w:lang w:val="en-US" w:eastAsia="zh-CN"/>
        </w:rPr>
        <w:t>西兰花</w:t>
      </w:r>
      <w:r>
        <w:rPr>
          <w:rFonts w:hint="eastAsia" w:ascii="仿宋_GB2312" w:hAnsi="仿宋_GB2312" w:eastAsia="仿宋_GB2312" w:cs="仿宋_GB2312"/>
          <w:sz w:val="32"/>
          <w:szCs w:val="32"/>
          <w:lang w:eastAsia="zh-CN"/>
        </w:rPr>
        <w:t>生产企业</w:t>
      </w:r>
      <w:r>
        <w:rPr>
          <w:rFonts w:hint="eastAsia" w:ascii="仿宋_GB2312" w:hAnsi="仿宋_GB2312" w:eastAsia="仿宋_GB2312" w:cs="仿宋_GB2312"/>
          <w:sz w:val="32"/>
          <w:szCs w:val="32"/>
        </w:rPr>
        <w:t>、批发</w:t>
      </w:r>
      <w:r>
        <w:rPr>
          <w:rFonts w:hint="eastAsia" w:ascii="仿宋_GB2312" w:hAnsi="仿宋_GB2312" w:eastAsia="仿宋_GB2312" w:cs="仿宋_GB2312"/>
          <w:sz w:val="32"/>
          <w:szCs w:val="32"/>
          <w:lang w:eastAsia="zh-CN"/>
        </w:rPr>
        <w:t>商</w:t>
      </w:r>
      <w:r>
        <w:rPr>
          <w:rFonts w:hint="eastAsia" w:ascii="仿宋_GB2312" w:hAnsi="仿宋_GB2312" w:eastAsia="仿宋_GB2312" w:cs="仿宋_GB2312"/>
          <w:sz w:val="32"/>
          <w:szCs w:val="32"/>
        </w:rPr>
        <w:t>、检测机构</w:t>
      </w:r>
      <w:r>
        <w:rPr>
          <w:rFonts w:hint="eastAsia" w:ascii="仿宋_GB2312" w:hAnsi="仿宋_GB2312" w:eastAsia="仿宋_GB2312" w:cs="仿宋_GB2312"/>
          <w:sz w:val="32"/>
          <w:szCs w:val="32"/>
          <w:lang w:eastAsia="zh-CN"/>
        </w:rPr>
        <w:t>及联盟成员</w:t>
      </w:r>
      <w:r>
        <w:rPr>
          <w:rFonts w:hint="eastAsia" w:ascii="仿宋_GB2312" w:hAnsi="仿宋_GB2312" w:eastAsia="仿宋_GB2312" w:cs="仿宋_GB2312"/>
          <w:sz w:val="32"/>
          <w:szCs w:val="32"/>
          <w:lang w:val="en-US" w:eastAsia="zh-CN"/>
        </w:rPr>
        <w:t>中</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rPr>
        <w:t>广泛征求意见，根据</w:t>
      </w:r>
      <w:r>
        <w:rPr>
          <w:rFonts w:hint="eastAsia" w:ascii="仿宋_GB2312" w:hAnsi="仿宋_GB2312" w:eastAsia="仿宋_GB2312" w:cs="仿宋_GB2312"/>
          <w:sz w:val="32"/>
          <w:szCs w:val="32"/>
          <w:lang w:eastAsia="zh-CN"/>
        </w:rPr>
        <w:t>反馈</w:t>
      </w:r>
      <w:r>
        <w:rPr>
          <w:rFonts w:hint="eastAsia" w:ascii="仿宋_GB2312" w:hAnsi="仿宋_GB2312" w:eastAsia="仿宋_GB2312" w:cs="仿宋_GB2312"/>
          <w:sz w:val="32"/>
          <w:szCs w:val="32"/>
        </w:rPr>
        <w:t>意见进行汇总修改，同时进行指标验证和校核，根据结果完善标准，形成标准文本送审稿。</w:t>
      </w:r>
    </w:p>
    <w:p w14:paraId="675AAB9D">
      <w:pPr>
        <w:spacing w:line="240" w:lineRule="auto"/>
        <w:ind w:left="0" w:leftChars="0" w:firstLine="640" w:firstLineChars="200"/>
        <w:jc w:val="both"/>
        <w:rPr>
          <w:rFonts w:hint="eastAsia" w:ascii="仿宋_GB2312" w:eastAsia="仿宋_GB2312"/>
          <w:sz w:val="32"/>
          <w:szCs w:val="32"/>
        </w:rPr>
      </w:pPr>
      <w:r>
        <w:rPr>
          <w:rFonts w:hint="eastAsia" w:ascii="仿宋_GB2312" w:hAnsi="仿宋_GB2312" w:eastAsia="仿宋_GB2312" w:cs="仿宋_GB2312"/>
          <w:sz w:val="32"/>
          <w:szCs w:val="32"/>
        </w:rPr>
        <w:t>第五步:按要求完成专家评审,根据评审意见完善标准，形成标准报批稿报送相关单位报批。</w:t>
      </w:r>
    </w:p>
    <w:p w14:paraId="017C4A77">
      <w:pPr>
        <w:numPr>
          <w:ilvl w:val="0"/>
          <w:numId w:val="2"/>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与现行有关法律法规和其他标准的关系</w:t>
      </w:r>
    </w:p>
    <w:p w14:paraId="32F3A293">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（一）与现行法律、法规的关系</w:t>
      </w:r>
    </w:p>
    <w:p w14:paraId="2FB1DEEB">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标准是以我国相关法律、法规和标准为基础，依据《中华人民共和国标准化法》《中华人民共和国农产品质量安全法》《中华人民共和国食品安全法》等，结合西兰花商业性生产和流通中的实际状况及发展需要制定出来的团体标准，是为增加高品质农产品市场供给、推动西兰花产业提档升级而提出与制定的，与现行法律法规无冲突。</w:t>
      </w:r>
    </w:p>
    <w:p w14:paraId="29C19FD3">
      <w:pPr>
        <w:pStyle w:val="2"/>
        <w:numPr>
          <w:ilvl w:val="0"/>
          <w:numId w:val="3"/>
        </w:numPr>
        <w:ind w:left="0"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食品安全国家标准、国家标准、行业标准等现行标准的关系</w:t>
      </w:r>
    </w:p>
    <w:p w14:paraId="4B2332F5">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宋体"/>
          <w:sz w:val="32"/>
          <w:szCs w:val="32"/>
          <w:lang w:val="en-US" w:eastAsia="zh-CN"/>
        </w:rPr>
      </w:pPr>
      <w:r>
        <w:rPr>
          <w:rFonts w:hint="eastAsia" w:ascii="仿宋_GB2312" w:eastAsia="仿宋_GB2312"/>
          <w:sz w:val="32"/>
          <w:szCs w:val="32"/>
          <w:lang w:val="en-US" w:eastAsia="zh-CN"/>
        </w:rPr>
        <w:t>国内与西兰花分级相关的现行食品安全国家标准、国家标准、行业标准包括GB 2762-2022《食品安全国家标准 食品中污染物限量》、GB 2763-2021《食品安全国家标准 食品中农药最大残留限量》、NY/T 941-2006《青花菜等级规格》、NY/T 746-2020《绿色食品 甘蓝类蔬菜》、DB3209/T 1171-2019《响水西兰花》、T/LB 001-2023《临海西兰花质量要求》、T/ZSGTS 127-2023《香山之品 青花菜》等，本标准是立足于西兰花产业提档升级而提出与制定的高质量产品标准，与现行食品安全国家标准、国家标准、行业标准等无冲突。</w:t>
      </w:r>
    </w:p>
    <w:p w14:paraId="4412C44D">
      <w:pPr>
        <w:pStyle w:val="2"/>
        <w:numPr>
          <w:ilvl w:val="0"/>
          <w:numId w:val="3"/>
        </w:numPr>
        <w:ind w:left="0" w:leftChars="0"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与国外标准的关系</w:t>
      </w:r>
    </w:p>
    <w:p w14:paraId="7CAB1D96">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lang w:eastAsia="zh-CN"/>
        </w:rPr>
      </w:pPr>
      <w:r>
        <w:rPr>
          <w:rFonts w:hint="eastAsia" w:ascii="仿宋_GB2312" w:eastAsia="仿宋_GB2312"/>
          <w:sz w:val="32"/>
          <w:szCs w:val="32"/>
          <w:lang w:eastAsia="zh-CN"/>
        </w:rPr>
        <w:t>国外与西兰花分级相关的标准有国际食品标准CXS 110-1981《速冻西兰花标准》、联合国欧洲经济委员会标准FFV-48《西兰花（花茎甘蓝）销售和商业质量控制》、欧盟(EC) No 396-2005《食品中的最大农残限量》、俄罗斯国家标准ГОСТ 33854-2016《新鲜的西兰花规格》等，本标准与国外标准无冲突。</w:t>
      </w:r>
    </w:p>
    <w:p w14:paraId="06094DFB">
      <w:pPr>
        <w:numPr>
          <w:ilvl w:val="0"/>
          <w:numId w:val="2"/>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主要技术内容确定依据</w:t>
      </w:r>
    </w:p>
    <w:p w14:paraId="23D08B40">
      <w:pPr>
        <w:numPr>
          <w:ilvl w:val="0"/>
          <w:numId w:val="4"/>
        </w:numPr>
        <w:spacing w:line="360" w:lineRule="auto"/>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标准编制原则</w:t>
      </w:r>
    </w:p>
    <w:p w14:paraId="296E303C">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本标准按GB/T 1.1-2020《标准化工作导则 第1部分：标准化文件的结构和起草规则》等基础标准的规定进行编制，遵循全面、合理、科学、可行的原则，注重完整性、可行性、先进性、实用性及协调统一性，力求做到与生产实际相结合，有利于促进生产和贸易，保护消费者利益。</w:t>
      </w:r>
    </w:p>
    <w:p w14:paraId="52AC5A9D">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在技术内容方面，通过开展行业调研、专家座谈、消费者意见收集、文献收集与标准比对、指标筛选与数据汇总、代表性样品采集检测、数据分析、结果验证等工作，形成了符合国家法律、法规、食品安全国家标准并与之相互协调、相互补充的指标体系，制定出了满足行业市场更高要求的西兰花分级标准。</w:t>
      </w:r>
    </w:p>
    <w:p w14:paraId="413DE9FE">
      <w:pPr>
        <w:numPr>
          <w:ilvl w:val="0"/>
          <w:numId w:val="4"/>
        </w:numPr>
        <w:spacing w:line="360" w:lineRule="auto"/>
        <w:ind w:left="640" w:leftChars="0" w:firstLine="0" w:firstLineChars="0"/>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lang w:eastAsia="zh-CN"/>
        </w:rPr>
        <w:t>主要技术内容确定的依据</w:t>
      </w:r>
    </w:p>
    <w:p w14:paraId="6184ECAF">
      <w:pPr>
        <w:pStyle w:val="2"/>
        <w:numPr>
          <w:ilvl w:val="0"/>
          <w:numId w:val="0"/>
        </w:numPr>
        <w:ind w:leftChars="400"/>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1.技术要求</w:t>
      </w:r>
    </w:p>
    <w:p w14:paraId="21F066E5">
      <w:pPr>
        <w:pStyle w:val="2"/>
        <w:numPr>
          <w:ilvl w:val="0"/>
          <w:numId w:val="0"/>
        </w:numPr>
        <w:spacing w:after="0"/>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对追溯要求、安全要求、品质分级要求、规格要求作出了规定。</w:t>
      </w:r>
    </w:p>
    <w:p w14:paraId="49B1B28F">
      <w:pPr>
        <w:pStyle w:val="2"/>
        <w:numPr>
          <w:ilvl w:val="0"/>
          <w:numId w:val="5"/>
        </w:numPr>
        <w:spacing w:after="0"/>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2"/>
          <w:sz w:val="32"/>
          <w:szCs w:val="32"/>
          <w:lang w:val="en-US" w:eastAsia="zh-CN" w:bidi="ar-SA"/>
        </w:rPr>
        <w:t>追溯要求：按照</w:t>
      </w:r>
      <w:r>
        <w:rPr>
          <w:rFonts w:hint="eastAsia" w:ascii="仿宋_GB2312" w:hAnsi="仿宋_GB2312" w:eastAsia="仿宋_GB2312" w:cs="仿宋_GB2312"/>
          <w:sz w:val="32"/>
          <w:szCs w:val="32"/>
          <w:lang w:eastAsia="zh-CN"/>
        </w:rPr>
        <w:t>《中华人民共和国农产品质量安全法》等法律法规设置农产品承诺达标合格证及追溯相关要求。</w:t>
      </w:r>
    </w:p>
    <w:p w14:paraId="37A968E2">
      <w:pPr>
        <w:pStyle w:val="2"/>
        <w:numPr>
          <w:ilvl w:val="0"/>
          <w:numId w:val="5"/>
        </w:numPr>
        <w:spacing w:after="0"/>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安全要求：按照GB 2762-2022《食品安全国家标准 食品中污染物限量》、GB 2763-2021《食品安全国家标准 食品中农药最大残留限量》和GB 2763.1-2022《食品安全国家标准 食品中2,4-滴丁酸钠盐等112种农药最大残留限量》设置污染物和农药最大残留等安全指标限值要求。</w:t>
      </w:r>
    </w:p>
    <w:p w14:paraId="7C22318D">
      <w:pPr>
        <w:pStyle w:val="2"/>
        <w:numPr>
          <w:ilvl w:val="0"/>
          <w:numId w:val="5"/>
        </w:numPr>
        <w:spacing w:after="0"/>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品质分级要求</w:t>
      </w:r>
      <w:r>
        <w:rPr>
          <w:rFonts w:hint="eastAsia" w:ascii="仿宋_GB2312" w:hAnsi="仿宋_GB2312" w:eastAsia="仿宋_GB2312" w:cs="仿宋_GB2312"/>
          <w:sz w:val="32"/>
          <w:szCs w:val="32"/>
          <w:lang w:val="en-US" w:eastAsia="zh-CN"/>
        </w:rPr>
        <w:t>：参照NY/T 941-2006《青花菜等级规格》、DB3209/T 1171-2019《响水西兰花》、T/LB 001-2023《临海西兰花质量要求》等标准要求，结合国内西兰花生产企业内部质量控制指标，设置感官要求、烹调性能、水分、膳食纤维、蛋白质及维生素C作为品质分级指标限值要求。</w:t>
      </w:r>
    </w:p>
    <w:p w14:paraId="26730F0A">
      <w:pPr>
        <w:pStyle w:val="2"/>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hAnsi="仿宋_GB2312" w:eastAsia="仿宋_GB2312" w:cs="仿宋_GB2312"/>
          <w:kern w:val="2"/>
          <w:sz w:val="32"/>
          <w:szCs w:val="32"/>
          <w:lang w:val="en-US" w:eastAsia="zh-CN" w:bidi="ar-SA"/>
        </w:rPr>
        <w:t>规格要求</w:t>
      </w:r>
      <w:r>
        <w:rPr>
          <w:rFonts w:hint="eastAsia" w:ascii="仿宋_GB2312" w:hAnsi="仿宋_GB2312" w:eastAsia="仿宋_GB2312" w:cs="仿宋_GB2312"/>
          <w:sz w:val="32"/>
          <w:szCs w:val="32"/>
          <w:lang w:val="en-US" w:eastAsia="zh-CN"/>
        </w:rPr>
        <w:t>：参照NY/T 941-2006《青花菜等级规格》和T/LB 001-2023《临海西兰花质量要求》等标准要求，结合国内西兰花生产企业内部质量控制指标，设置花球（包括花茎）高度和花球最大直径作为</w:t>
      </w:r>
      <w:r>
        <w:rPr>
          <w:rFonts w:hint="eastAsia" w:ascii="仿宋_GB2312" w:hAnsi="仿宋_GB2312" w:eastAsia="仿宋_GB2312" w:cs="仿宋_GB2312"/>
          <w:kern w:val="2"/>
          <w:sz w:val="32"/>
          <w:szCs w:val="32"/>
          <w:lang w:val="en-US" w:eastAsia="zh-CN" w:bidi="ar-SA"/>
        </w:rPr>
        <w:t>规格</w:t>
      </w:r>
      <w:r>
        <w:rPr>
          <w:rFonts w:hint="eastAsia" w:ascii="仿宋_GB2312" w:hAnsi="仿宋_GB2312" w:eastAsia="仿宋_GB2312" w:cs="仿宋_GB2312"/>
          <w:sz w:val="32"/>
          <w:szCs w:val="32"/>
          <w:lang w:val="en-US" w:eastAsia="zh-CN"/>
        </w:rPr>
        <w:t>指标限值要求。</w:t>
      </w:r>
    </w:p>
    <w:p w14:paraId="15ABC2D1">
      <w:pPr>
        <w:pStyle w:val="2"/>
        <w:numPr>
          <w:ilvl w:val="0"/>
          <w:numId w:val="0"/>
        </w:numPr>
        <w:spacing w:after="0"/>
        <w:ind w:left="6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2.数据分析及确认</w:t>
      </w:r>
    </w:p>
    <w:p w14:paraId="2930C0E0">
      <w:pPr>
        <w:pStyle w:val="2"/>
        <w:numPr>
          <w:ilvl w:val="0"/>
          <w:numId w:val="0"/>
        </w:numPr>
        <w:spacing w:after="0"/>
        <w:ind w:left="6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2.1标准查询</w:t>
      </w:r>
    </w:p>
    <w:p w14:paraId="659686CF">
      <w:pPr>
        <w:pStyle w:val="2"/>
        <w:numPr>
          <w:ilvl w:val="0"/>
          <w:numId w:val="0"/>
        </w:numPr>
        <w:spacing w:after="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我国现行西兰花分级相关标准中，对感官指标、膳食纤维、蛋白质、维生素C、花球（包括花茎）高度以及花球最大直径有规定的标准主要有：NY/T 941-2006《青花菜等级规格》、T/LB 001-2023《临海西兰花质量要求》等。</w:t>
      </w:r>
    </w:p>
    <w:p w14:paraId="5ECA64D9">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①NY/T 941-2006《青花菜等级规格》</w:t>
      </w:r>
    </w:p>
    <w:p w14:paraId="4A2DC3E2">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1247140"/>
            <wp:effectExtent l="0" t="0" r="4445" b="2540"/>
            <wp:docPr id="1" name="图片 1" descr="17458886110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5888611098(1)"/>
                    <pic:cNvPicPr>
                      <a:picLocks noChangeAspect="1"/>
                    </pic:cNvPicPr>
                  </pic:nvPicPr>
                  <pic:blipFill>
                    <a:blip r:embed="rId5"/>
                    <a:srcRect t="13077"/>
                    <a:stretch>
                      <a:fillRect/>
                    </a:stretch>
                  </pic:blipFill>
                  <pic:spPr>
                    <a:xfrm>
                      <a:off x="0" y="0"/>
                      <a:ext cx="5039995" cy="1247140"/>
                    </a:xfrm>
                    <a:prstGeom prst="rect">
                      <a:avLst/>
                    </a:prstGeom>
                  </pic:spPr>
                </pic:pic>
              </a:graphicData>
            </a:graphic>
          </wp:inline>
        </w:drawing>
      </w:r>
    </w:p>
    <w:p w14:paraId="693FFE3A">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24"/>
          <w:szCs w:val="24"/>
          <w:lang w:val="en-US" w:eastAsia="zh-CN"/>
        </w:rPr>
        <w:t>图1 NY/T 941-2006《青花菜等级规格》等级要求</w:t>
      </w:r>
    </w:p>
    <w:p w14:paraId="2A862A3E">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697230"/>
            <wp:effectExtent l="0" t="0" r="4445" b="3810"/>
            <wp:docPr id="2" name="图片 2" descr="174588866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45888661255"/>
                    <pic:cNvPicPr>
                      <a:picLocks noChangeAspect="1"/>
                    </pic:cNvPicPr>
                  </pic:nvPicPr>
                  <pic:blipFill>
                    <a:blip r:embed="rId6"/>
                    <a:srcRect t="29945"/>
                    <a:stretch>
                      <a:fillRect/>
                    </a:stretch>
                  </pic:blipFill>
                  <pic:spPr>
                    <a:xfrm>
                      <a:off x="0" y="0"/>
                      <a:ext cx="5039995" cy="697230"/>
                    </a:xfrm>
                    <a:prstGeom prst="rect">
                      <a:avLst/>
                    </a:prstGeom>
                  </pic:spPr>
                </pic:pic>
              </a:graphicData>
            </a:graphic>
          </wp:inline>
        </w:drawing>
      </w:r>
    </w:p>
    <w:p w14:paraId="5E80D15F">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24"/>
          <w:szCs w:val="24"/>
          <w:lang w:val="en-US" w:eastAsia="zh-CN"/>
        </w:rPr>
        <w:t>图2 NY/T 941-2006《青花菜等级规格》等级要求（续）</w:t>
      </w:r>
    </w:p>
    <w:p w14:paraId="5DCBCBEC">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416560"/>
            <wp:effectExtent l="0" t="0" r="4445" b="10160"/>
            <wp:docPr id="3" name="图片 3" descr="174588869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45888697624"/>
                    <pic:cNvPicPr>
                      <a:picLocks noChangeAspect="1"/>
                    </pic:cNvPicPr>
                  </pic:nvPicPr>
                  <pic:blipFill>
                    <a:blip r:embed="rId7"/>
                    <a:srcRect t="31483"/>
                    <a:stretch>
                      <a:fillRect/>
                    </a:stretch>
                  </pic:blipFill>
                  <pic:spPr>
                    <a:xfrm>
                      <a:off x="0" y="0"/>
                      <a:ext cx="5039995" cy="416560"/>
                    </a:xfrm>
                    <a:prstGeom prst="rect">
                      <a:avLst/>
                    </a:prstGeom>
                  </pic:spPr>
                </pic:pic>
              </a:graphicData>
            </a:graphic>
          </wp:inline>
        </w:drawing>
      </w:r>
    </w:p>
    <w:p w14:paraId="7C37B87C">
      <w:pPr>
        <w:pStyle w:val="2"/>
        <w:numPr>
          <w:ilvl w:val="0"/>
          <w:numId w:val="0"/>
        </w:numPr>
        <w:spacing w:after="0"/>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图3 NY/T 941-2006《青花菜等级规格》规格要求</w:t>
      </w:r>
    </w:p>
    <w:p w14:paraId="53A4D3A1">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②T/LB 001-2023《临海西兰花质量要求》</w:t>
      </w:r>
    </w:p>
    <w:p w14:paraId="041B761F">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782955"/>
            <wp:effectExtent l="0" t="0" r="4445" b="9525"/>
            <wp:docPr id="16" name="图片 16" descr="17458895934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45889593478(1)"/>
                    <pic:cNvPicPr>
                      <a:picLocks noChangeAspect="1"/>
                    </pic:cNvPicPr>
                  </pic:nvPicPr>
                  <pic:blipFill>
                    <a:blip r:embed="rId8"/>
                    <a:srcRect t="28539"/>
                    <a:stretch>
                      <a:fillRect/>
                    </a:stretch>
                  </pic:blipFill>
                  <pic:spPr>
                    <a:xfrm>
                      <a:off x="0" y="0"/>
                      <a:ext cx="5039995" cy="782955"/>
                    </a:xfrm>
                    <a:prstGeom prst="rect">
                      <a:avLst/>
                    </a:prstGeom>
                  </pic:spPr>
                </pic:pic>
              </a:graphicData>
            </a:graphic>
          </wp:inline>
        </w:drawing>
      </w:r>
    </w:p>
    <w:p w14:paraId="4DE1D5F7">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24"/>
          <w:szCs w:val="24"/>
          <w:lang w:val="en-US" w:eastAsia="zh-CN"/>
        </w:rPr>
        <w:t>图4 T/LB 001-2023《临海西兰花质量要求》规格要求</w:t>
      </w:r>
    </w:p>
    <w:p w14:paraId="3C28ADFC">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1931035"/>
            <wp:effectExtent l="0" t="0" r="4445" b="4445"/>
            <wp:docPr id="17" name="图片 17" descr="1745889634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745889634237"/>
                    <pic:cNvPicPr>
                      <a:picLocks noChangeAspect="1"/>
                    </pic:cNvPicPr>
                  </pic:nvPicPr>
                  <pic:blipFill>
                    <a:blip r:embed="rId9"/>
                    <a:srcRect t="11619"/>
                    <a:stretch>
                      <a:fillRect/>
                    </a:stretch>
                  </pic:blipFill>
                  <pic:spPr>
                    <a:xfrm>
                      <a:off x="0" y="0"/>
                      <a:ext cx="5039995" cy="1931035"/>
                    </a:xfrm>
                    <a:prstGeom prst="rect">
                      <a:avLst/>
                    </a:prstGeom>
                  </pic:spPr>
                </pic:pic>
              </a:graphicData>
            </a:graphic>
          </wp:inline>
        </w:drawing>
      </w:r>
    </w:p>
    <w:p w14:paraId="016FAE29">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24"/>
          <w:szCs w:val="24"/>
          <w:lang w:val="en-US" w:eastAsia="zh-CN"/>
        </w:rPr>
        <w:t>图5 T/LB 001-2023《临海西兰花质量要求》等级要求</w:t>
      </w:r>
    </w:p>
    <w:p w14:paraId="3A9B1F06">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866775"/>
            <wp:effectExtent l="0" t="0" r="4445" b="1905"/>
            <wp:docPr id="18" name="图片 18" descr="1745889665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745889665918"/>
                    <pic:cNvPicPr>
                      <a:picLocks noChangeAspect="1"/>
                    </pic:cNvPicPr>
                  </pic:nvPicPr>
                  <pic:blipFill>
                    <a:blip r:embed="rId10"/>
                    <a:srcRect t="33739"/>
                    <a:stretch>
                      <a:fillRect/>
                    </a:stretch>
                  </pic:blipFill>
                  <pic:spPr>
                    <a:xfrm>
                      <a:off x="0" y="0"/>
                      <a:ext cx="5039995" cy="866775"/>
                    </a:xfrm>
                    <a:prstGeom prst="rect">
                      <a:avLst/>
                    </a:prstGeom>
                  </pic:spPr>
                </pic:pic>
              </a:graphicData>
            </a:graphic>
          </wp:inline>
        </w:drawing>
      </w:r>
    </w:p>
    <w:p w14:paraId="11C741E7">
      <w:pPr>
        <w:pStyle w:val="2"/>
        <w:numPr>
          <w:ilvl w:val="0"/>
          <w:numId w:val="0"/>
        </w:numPr>
        <w:spacing w:after="0"/>
        <w:jc w:val="center"/>
      </w:pPr>
      <w:r>
        <w:rPr>
          <w:rFonts w:hint="eastAsia" w:ascii="仿宋_GB2312" w:hAnsi="仿宋_GB2312" w:eastAsia="仿宋_GB2312" w:cs="仿宋_GB2312"/>
          <w:b/>
          <w:bCs/>
          <w:sz w:val="24"/>
          <w:szCs w:val="24"/>
          <w:lang w:val="en-US" w:eastAsia="zh-CN"/>
        </w:rPr>
        <w:t>图6 T/LB 001-2023《临海西兰花质量要求》理化要求</w:t>
      </w:r>
    </w:p>
    <w:p w14:paraId="6192976A">
      <w:pPr>
        <w:pStyle w:val="2"/>
        <w:numPr>
          <w:ilvl w:val="0"/>
          <w:numId w:val="0"/>
        </w:numPr>
        <w:spacing w:after="0"/>
        <w:jc w:val="both"/>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2.2</w:t>
      </w:r>
      <w:r>
        <w:rPr>
          <w:rFonts w:hint="eastAsia" w:ascii="仿宋_GB2312" w:eastAsia="仿宋_GB2312" w:cs="Times New Roman"/>
          <w:kern w:val="2"/>
          <w:sz w:val="32"/>
          <w:szCs w:val="32"/>
          <w:lang w:val="en-US" w:eastAsia="zh-CN" w:bidi="ar-SA"/>
        </w:rPr>
        <w:t>文献资料查询</w:t>
      </w:r>
    </w:p>
    <w:p w14:paraId="6C0AA417">
      <w:pPr>
        <w:pStyle w:val="2"/>
        <w:numPr>
          <w:ilvl w:val="0"/>
          <w:numId w:val="0"/>
        </w:numPr>
        <w:spacing w:after="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主要查询了《中国食物成分表标准版 第6版》（中国疾病预防控制中心营养与健康所编著）、《3种花菜类高原夏菜的营养品质分析》（甘肃省农业科学院）、《西兰花全资源营养成分分布特征及评价》（中华全国供销合作总社济南果品研究所）等文献资料中西兰花的成分数据。</w:t>
      </w:r>
    </w:p>
    <w:p w14:paraId="603364D2">
      <w:pPr>
        <w:pStyle w:val="2"/>
        <w:numPr>
          <w:ilvl w:val="0"/>
          <w:numId w:val="0"/>
        </w:numPr>
        <w:spacing w:after="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①《中国食物成分表标准版 第6版》（中国疾病预防控制中心营养与健康所编著）</w:t>
      </w:r>
    </w:p>
    <w:p w14:paraId="21F9D629">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614680"/>
            <wp:effectExtent l="0" t="0" r="4445" b="10160"/>
            <wp:docPr id="21" name="图片 21" descr="174589013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45890135010"/>
                    <pic:cNvPicPr>
                      <a:picLocks noChangeAspect="1"/>
                    </pic:cNvPicPr>
                  </pic:nvPicPr>
                  <pic:blipFill>
                    <a:blip r:embed="rId11"/>
                    <a:stretch>
                      <a:fillRect/>
                    </a:stretch>
                  </pic:blipFill>
                  <pic:spPr>
                    <a:xfrm>
                      <a:off x="0" y="0"/>
                      <a:ext cx="5039995" cy="614680"/>
                    </a:xfrm>
                    <a:prstGeom prst="rect">
                      <a:avLst/>
                    </a:prstGeom>
                  </pic:spPr>
                </pic:pic>
              </a:graphicData>
            </a:graphic>
          </wp:inline>
        </w:drawing>
      </w:r>
    </w:p>
    <w:p w14:paraId="198EFDAF">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127635"/>
            <wp:effectExtent l="0" t="0" r="4445" b="9525"/>
            <wp:docPr id="22" name="图片 22" descr="17458901690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1745890169086(1)"/>
                    <pic:cNvPicPr>
                      <a:picLocks noChangeAspect="1"/>
                    </pic:cNvPicPr>
                  </pic:nvPicPr>
                  <pic:blipFill>
                    <a:blip r:embed="rId12"/>
                    <a:stretch>
                      <a:fillRect/>
                    </a:stretch>
                  </pic:blipFill>
                  <pic:spPr>
                    <a:xfrm>
                      <a:off x="0" y="0"/>
                      <a:ext cx="5039995" cy="127635"/>
                    </a:xfrm>
                    <a:prstGeom prst="rect">
                      <a:avLst/>
                    </a:prstGeom>
                  </pic:spPr>
                </pic:pic>
              </a:graphicData>
            </a:graphic>
          </wp:inline>
        </w:drawing>
      </w:r>
    </w:p>
    <w:p w14:paraId="74C0B41A">
      <w:pPr>
        <w:pStyle w:val="2"/>
        <w:numPr>
          <w:ilvl w:val="0"/>
          <w:numId w:val="0"/>
        </w:numPr>
        <w:spacing w:after="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4"/>
          <w:szCs w:val="24"/>
          <w:lang w:val="en-US" w:eastAsia="zh-CN"/>
        </w:rPr>
        <w:t>图7 《中国食物成分表标准版 第6版》中西兰花的成分数据</w:t>
      </w:r>
    </w:p>
    <w:p w14:paraId="559D84D0">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607695"/>
            <wp:effectExtent l="0" t="0" r="4445" b="1905"/>
            <wp:docPr id="19" name="图片 19" descr="1745890019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745890019043"/>
                    <pic:cNvPicPr>
                      <a:picLocks noChangeAspect="1"/>
                    </pic:cNvPicPr>
                  </pic:nvPicPr>
                  <pic:blipFill>
                    <a:blip r:embed="rId13"/>
                    <a:stretch>
                      <a:fillRect/>
                    </a:stretch>
                  </pic:blipFill>
                  <pic:spPr>
                    <a:xfrm>
                      <a:off x="0" y="0"/>
                      <a:ext cx="5039995" cy="607695"/>
                    </a:xfrm>
                    <a:prstGeom prst="rect">
                      <a:avLst/>
                    </a:prstGeom>
                  </pic:spPr>
                </pic:pic>
              </a:graphicData>
            </a:graphic>
          </wp:inline>
        </w:drawing>
      </w:r>
    </w:p>
    <w:p w14:paraId="2DBE9F02">
      <w:pPr>
        <w:pStyle w:val="2"/>
        <w:numPr>
          <w:ilvl w:val="0"/>
          <w:numId w:val="0"/>
        </w:numPr>
        <w:spacing w:after="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5039995" cy="127000"/>
            <wp:effectExtent l="0" t="0" r="4445" b="10160"/>
            <wp:docPr id="20" name="图片 20" descr="1745890056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45890056039(1)"/>
                    <pic:cNvPicPr>
                      <a:picLocks noChangeAspect="1"/>
                    </pic:cNvPicPr>
                  </pic:nvPicPr>
                  <pic:blipFill>
                    <a:blip r:embed="rId14"/>
                    <a:stretch>
                      <a:fillRect/>
                    </a:stretch>
                  </pic:blipFill>
                  <pic:spPr>
                    <a:xfrm>
                      <a:off x="0" y="0"/>
                      <a:ext cx="5039995" cy="127000"/>
                    </a:xfrm>
                    <a:prstGeom prst="rect">
                      <a:avLst/>
                    </a:prstGeom>
                  </pic:spPr>
                </pic:pic>
              </a:graphicData>
            </a:graphic>
          </wp:inline>
        </w:drawing>
      </w:r>
    </w:p>
    <w:p w14:paraId="415D1CDD">
      <w:pPr>
        <w:pStyle w:val="2"/>
        <w:numPr>
          <w:ilvl w:val="0"/>
          <w:numId w:val="0"/>
        </w:numPr>
        <w:spacing w:after="0"/>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图8 《中国食物成分表标准版 第6版》中西兰花的成分数据（续）</w:t>
      </w:r>
    </w:p>
    <w:p w14:paraId="1CC3541E">
      <w:pPr>
        <w:pStyle w:val="2"/>
        <w:numPr>
          <w:ilvl w:val="0"/>
          <w:numId w:val="0"/>
        </w:numPr>
        <w:spacing w:after="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②《3种花菜类高原夏菜的营养品质分析》（甘肃省农业科学院）</w:t>
      </w:r>
    </w:p>
    <w:p w14:paraId="02BB3814">
      <w:pPr>
        <w:pStyle w:val="2"/>
        <w:numPr>
          <w:ilvl w:val="0"/>
          <w:numId w:val="0"/>
        </w:numPr>
        <w:spacing w:after="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drawing>
          <wp:inline distT="0" distB="0" distL="114300" distR="114300">
            <wp:extent cx="2520315" cy="1862455"/>
            <wp:effectExtent l="0" t="0" r="9525" b="12065"/>
            <wp:docPr id="24" name="图片 24" descr="1745892030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745892030816(1)"/>
                    <pic:cNvPicPr>
                      <a:picLocks noChangeAspect="1"/>
                    </pic:cNvPicPr>
                  </pic:nvPicPr>
                  <pic:blipFill>
                    <a:blip r:embed="rId15"/>
                    <a:stretch>
                      <a:fillRect/>
                    </a:stretch>
                  </pic:blipFill>
                  <pic:spPr>
                    <a:xfrm>
                      <a:off x="0" y="0"/>
                      <a:ext cx="2520315" cy="1862455"/>
                    </a:xfrm>
                    <a:prstGeom prst="rect">
                      <a:avLst/>
                    </a:prstGeom>
                  </pic:spPr>
                </pic:pic>
              </a:graphicData>
            </a:graphic>
          </wp:inline>
        </w:drawing>
      </w:r>
      <w:r>
        <w:rPr>
          <w:rFonts w:hint="eastAsia" w:ascii="仿宋_GB2312" w:hAnsi="仿宋_GB2312" w:eastAsia="仿宋_GB2312" w:cs="仿宋_GB2312"/>
          <w:b/>
          <w:bCs/>
          <w:sz w:val="28"/>
          <w:szCs w:val="28"/>
          <w:lang w:val="en-US" w:eastAsia="zh-CN"/>
        </w:rPr>
        <w:drawing>
          <wp:inline distT="0" distB="0" distL="114300" distR="114300">
            <wp:extent cx="2520315" cy="1056005"/>
            <wp:effectExtent l="0" t="0" r="9525" b="10795"/>
            <wp:docPr id="25" name="图片 25" descr="1745892049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745892049848(1)"/>
                    <pic:cNvPicPr>
                      <a:picLocks noChangeAspect="1"/>
                    </pic:cNvPicPr>
                  </pic:nvPicPr>
                  <pic:blipFill>
                    <a:blip r:embed="rId16"/>
                    <a:stretch>
                      <a:fillRect/>
                    </a:stretch>
                  </pic:blipFill>
                  <pic:spPr>
                    <a:xfrm>
                      <a:off x="0" y="0"/>
                      <a:ext cx="2520315" cy="1056005"/>
                    </a:xfrm>
                    <a:prstGeom prst="rect">
                      <a:avLst/>
                    </a:prstGeom>
                  </pic:spPr>
                </pic:pic>
              </a:graphicData>
            </a:graphic>
          </wp:inline>
        </w:drawing>
      </w:r>
    </w:p>
    <w:p w14:paraId="791BFAF9">
      <w:pPr>
        <w:pStyle w:val="2"/>
        <w:numPr>
          <w:ilvl w:val="0"/>
          <w:numId w:val="0"/>
        </w:numPr>
        <w:spacing w:after="0"/>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图9 《3种花菜类高原夏菜的营养品质分析》中西兰花的营养数据</w:t>
      </w:r>
    </w:p>
    <w:p w14:paraId="5527592A">
      <w:pPr>
        <w:pStyle w:val="2"/>
        <w:numPr>
          <w:ilvl w:val="0"/>
          <w:numId w:val="0"/>
        </w:numPr>
        <w:spacing w:after="0"/>
        <w:ind w:firstLine="640"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sz w:val="32"/>
          <w:szCs w:val="32"/>
          <w:lang w:val="en-US" w:eastAsia="zh-CN"/>
        </w:rPr>
        <w:t>③《西兰花全资源营养成分分布特征及评价》（中华全国供销合作总社济南果品研究所）</w:t>
      </w:r>
    </w:p>
    <w:p w14:paraId="6B938A7C">
      <w:pPr>
        <w:pStyle w:val="2"/>
        <w:numPr>
          <w:ilvl w:val="0"/>
          <w:numId w:val="0"/>
        </w:numPr>
        <w:spacing w:after="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drawing>
          <wp:inline distT="0" distB="0" distL="114300" distR="114300">
            <wp:extent cx="3599815" cy="2107565"/>
            <wp:effectExtent l="0" t="0" r="12065" b="10795"/>
            <wp:docPr id="26" name="图片 26" descr="17458922878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745892287840(1)"/>
                    <pic:cNvPicPr>
                      <a:picLocks noChangeAspect="1"/>
                    </pic:cNvPicPr>
                  </pic:nvPicPr>
                  <pic:blipFill>
                    <a:blip r:embed="rId17"/>
                    <a:srcRect t="27263"/>
                    <a:stretch>
                      <a:fillRect/>
                    </a:stretch>
                  </pic:blipFill>
                  <pic:spPr>
                    <a:xfrm>
                      <a:off x="0" y="0"/>
                      <a:ext cx="3599815" cy="2107565"/>
                    </a:xfrm>
                    <a:prstGeom prst="rect">
                      <a:avLst/>
                    </a:prstGeom>
                  </pic:spPr>
                </pic:pic>
              </a:graphicData>
            </a:graphic>
          </wp:inline>
        </w:drawing>
      </w:r>
    </w:p>
    <w:p w14:paraId="26F86B5C">
      <w:pPr>
        <w:pStyle w:val="2"/>
        <w:numPr>
          <w:ilvl w:val="0"/>
          <w:numId w:val="0"/>
        </w:numPr>
        <w:spacing w:after="0"/>
        <w:ind w:firstLine="640"/>
        <w:jc w:val="both"/>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图10 《西兰花全资源营养成分分布特征及评价》中西兰花的营养数据</w:t>
      </w:r>
    </w:p>
    <w:p w14:paraId="7EFCF40F">
      <w:pPr>
        <w:pStyle w:val="2"/>
        <w:numPr>
          <w:ilvl w:val="0"/>
          <w:numId w:val="0"/>
        </w:numPr>
        <w:spacing w:after="0"/>
        <w:jc w:val="both"/>
        <w:rPr>
          <w:rFonts w:hint="eastAsia" w:ascii="仿宋_GB2312" w:hAnsi="仿宋_GB2312" w:eastAsia="仿宋_GB2312" w:cs="仿宋_GB2312"/>
          <w:b/>
          <w:bCs/>
          <w:sz w:val="24"/>
          <w:szCs w:val="24"/>
          <w:lang w:val="en-US" w:eastAsia="zh-CN"/>
        </w:rPr>
      </w:pPr>
      <w:r>
        <w:rPr>
          <w:rFonts w:hint="eastAsia" w:ascii="仿宋_GB2312" w:hAnsi="Times New Roman" w:eastAsia="仿宋_GB2312" w:cs="Times New Roman"/>
          <w:kern w:val="2"/>
          <w:sz w:val="32"/>
          <w:szCs w:val="32"/>
          <w:lang w:val="en-US" w:eastAsia="zh-CN" w:bidi="ar-SA"/>
        </w:rPr>
        <w:t>2.3</w:t>
      </w:r>
      <w:r>
        <w:rPr>
          <w:rFonts w:hint="eastAsia" w:ascii="仿宋_GB2312" w:eastAsia="仿宋_GB2312" w:cs="Times New Roman"/>
          <w:kern w:val="2"/>
          <w:sz w:val="32"/>
          <w:szCs w:val="32"/>
          <w:lang w:val="en-US" w:eastAsia="zh-CN" w:bidi="ar-SA"/>
        </w:rPr>
        <w:t>检测数据</w:t>
      </w:r>
    </w:p>
    <w:p w14:paraId="78B5E2CF">
      <w:pPr>
        <w:pStyle w:val="2"/>
        <w:numPr>
          <w:ilvl w:val="0"/>
          <w:numId w:val="0"/>
        </w:numPr>
        <w:spacing w:after="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采集覆盖各流通渠道、价格区间以及不同等级的代表性西兰花样品50批次，针对性地开展西兰花分级指标检测，并进行数据分析。</w:t>
      </w:r>
    </w:p>
    <w:p w14:paraId="55E5D0FD">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firstLine="641"/>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综合以上分析，西兰花品质分级指标选用感官要求、烹调性能、水分、膳食纤维、蛋白质以及维生素C，具体要求见下表。</w:t>
      </w:r>
    </w:p>
    <w:p w14:paraId="0CFD8283">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jc w:val="center"/>
        <w:textAlignment w:val="auto"/>
      </w:pPr>
      <w:r>
        <w:drawing>
          <wp:inline distT="0" distB="0" distL="114300" distR="114300">
            <wp:extent cx="5266690" cy="3754755"/>
            <wp:effectExtent l="0" t="0" r="635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8"/>
                    <a:stretch>
                      <a:fillRect/>
                    </a:stretch>
                  </pic:blipFill>
                  <pic:spPr>
                    <a:xfrm>
                      <a:off x="0" y="0"/>
                      <a:ext cx="5266690" cy="3754755"/>
                    </a:xfrm>
                    <a:prstGeom prst="rect">
                      <a:avLst/>
                    </a:prstGeom>
                    <a:noFill/>
                    <a:ln>
                      <a:noFill/>
                    </a:ln>
                  </pic:spPr>
                </pic:pic>
              </a:graphicData>
            </a:graphic>
          </wp:inline>
        </w:drawing>
      </w:r>
    </w:p>
    <w:p w14:paraId="3717CE2F">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西兰花规格指标选用花球（包括花茎）高度与花球最大直径，具体要求见下表。</w:t>
      </w:r>
    </w:p>
    <w:p w14:paraId="13526E0B">
      <w:pPr>
        <w:pStyle w:val="2"/>
        <w:ind w:left="0" w:leftChars="0" w:firstLine="0" w:firstLineChars="0"/>
        <w:jc w:val="center"/>
        <w:rPr>
          <w:rFonts w:hint="eastAsia" w:ascii="仿宋_GB2312" w:hAnsi="仿宋_GB2312" w:eastAsia="仿宋_GB2312" w:cs="仿宋_GB2312"/>
          <w:sz w:val="32"/>
          <w:szCs w:val="32"/>
          <w:lang w:val="en-US" w:eastAsia="zh-CN"/>
        </w:rPr>
      </w:pPr>
      <w:r>
        <w:drawing>
          <wp:inline distT="0" distB="0" distL="114300" distR="114300">
            <wp:extent cx="5273040" cy="991235"/>
            <wp:effectExtent l="0" t="0" r="0" b="1460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9"/>
                    <a:stretch>
                      <a:fillRect/>
                    </a:stretch>
                  </pic:blipFill>
                  <pic:spPr>
                    <a:xfrm>
                      <a:off x="0" y="0"/>
                      <a:ext cx="5273040" cy="991235"/>
                    </a:xfrm>
                    <a:prstGeom prst="rect">
                      <a:avLst/>
                    </a:prstGeom>
                    <a:noFill/>
                    <a:ln>
                      <a:noFill/>
                    </a:ln>
                  </pic:spPr>
                </pic:pic>
              </a:graphicData>
            </a:graphic>
          </wp:inline>
        </w:drawing>
      </w:r>
    </w:p>
    <w:p w14:paraId="3A4EAAF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四、标准可能带来的经济和社会影响评估</w:t>
      </w:r>
    </w:p>
    <w:p w14:paraId="39E2277B">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标准的发布实施，将有效推动深圳市西兰花质量分级工作的开展，有利于推动产业升级，提升产品附加值与市场竞争力，增强区域品牌影响力；有利于规范市场秩序，增加高品质西兰花市场供给，对开展深圳市农产品监管监测、农产品生产经营等具有积极的指导作用。在消费者权益的保障方面，通过西兰花质量分级，促使质量透明化、营养可视化，有利于增强消费信心，促进西兰花市场流通和消费，实现经济与社会效益的协同。</w:t>
      </w:r>
    </w:p>
    <w:p w14:paraId="363347DB">
      <w:pPr>
        <w:spacing w:line="360" w:lineRule="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、团体标准先进性说明</w:t>
      </w:r>
    </w:p>
    <w:p w14:paraId="57AE2527">
      <w:p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本标准在制定过程中，充分考虑了国内西兰花产业现状和行业发展的市场需求，在内容上达到国内先进水平。与现有标准相比，能够更好地满足市场和消费者的实际需求，有利于推动西兰花行业的高质量发展。</w:t>
      </w:r>
    </w:p>
    <w:p w14:paraId="41C930A5">
      <w:p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六</w:t>
      </w:r>
      <w:r>
        <w:rPr>
          <w:rFonts w:hint="eastAsia" w:ascii="黑体" w:hAnsi="黑体" w:eastAsia="黑体" w:cs="黑体"/>
          <w:sz w:val="32"/>
          <w:szCs w:val="32"/>
        </w:rPr>
        <w:t>、征求意见</w:t>
      </w:r>
      <w:r>
        <w:rPr>
          <w:rFonts w:hint="eastAsia" w:ascii="黑体" w:hAnsi="黑体" w:eastAsia="黑体" w:cs="黑体"/>
          <w:sz w:val="32"/>
          <w:szCs w:val="32"/>
          <w:lang w:eastAsia="zh-CN"/>
        </w:rPr>
        <w:t>的采纳情况</w:t>
      </w:r>
    </w:p>
    <w:p w14:paraId="121DCF80">
      <w:pPr>
        <w:keepNext w:val="0"/>
        <w:keepLines w:val="0"/>
        <w:pageBreakBefore w:val="0"/>
        <w:widowControl w:val="0"/>
        <w:kinsoku/>
        <w:wordWrap/>
        <w:overflowPunct/>
        <w:topLinePunct w:val="0"/>
        <w:autoSpaceDE/>
        <w:autoSpaceDN/>
        <w:bidi w:val="0"/>
        <w:adjustRightInd/>
        <w:snapToGrid/>
        <w:spacing w:after="157" w:afterLines="50"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标准征求意见稿于2025年 月至 月在深圳市农业产业化龙头企业协会及全国团体标准信息平台公开征求意见，期间共收集意见反馈  条，采纳  条。</w:t>
      </w:r>
    </w:p>
    <w:tbl>
      <w:tblPr>
        <w:tblStyle w:val="5"/>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50"/>
        <w:gridCol w:w="2351"/>
        <w:gridCol w:w="1506"/>
        <w:gridCol w:w="1243"/>
        <w:gridCol w:w="1577"/>
      </w:tblGrid>
      <w:tr w14:paraId="7DAA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678" w:type="dxa"/>
            <w:tcBorders>
              <w:top w:val="single" w:color="auto" w:sz="4" w:space="0"/>
              <w:left w:val="single" w:color="auto" w:sz="4" w:space="0"/>
              <w:bottom w:val="single" w:color="auto" w:sz="4" w:space="0"/>
              <w:right w:val="single" w:color="auto" w:sz="4" w:space="0"/>
            </w:tcBorders>
            <w:vAlign w:val="center"/>
          </w:tcPr>
          <w:p w14:paraId="656F4BA0">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050" w:type="dxa"/>
            <w:tcBorders>
              <w:top w:val="single" w:color="auto" w:sz="4" w:space="0"/>
              <w:left w:val="single" w:color="auto" w:sz="4" w:space="0"/>
              <w:bottom w:val="single" w:color="auto" w:sz="4" w:space="0"/>
              <w:right w:val="single" w:color="auto" w:sz="4" w:space="0"/>
            </w:tcBorders>
            <w:vAlign w:val="center"/>
          </w:tcPr>
          <w:p w14:paraId="282B95A8">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章条</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编号</w:t>
            </w:r>
          </w:p>
        </w:tc>
        <w:tc>
          <w:tcPr>
            <w:tcW w:w="2351" w:type="dxa"/>
            <w:tcBorders>
              <w:top w:val="single" w:color="auto" w:sz="4" w:space="0"/>
              <w:left w:val="single" w:color="auto" w:sz="4" w:space="0"/>
              <w:bottom w:val="single" w:color="auto" w:sz="4" w:space="0"/>
              <w:right w:val="single" w:color="auto" w:sz="4" w:space="0"/>
            </w:tcBorders>
            <w:vAlign w:val="center"/>
          </w:tcPr>
          <w:p w14:paraId="12ACC77C">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意见内容</w:t>
            </w:r>
          </w:p>
        </w:tc>
        <w:tc>
          <w:tcPr>
            <w:tcW w:w="1506" w:type="dxa"/>
            <w:tcBorders>
              <w:top w:val="single" w:color="auto" w:sz="4" w:space="0"/>
              <w:left w:val="single" w:color="auto" w:sz="4" w:space="0"/>
              <w:bottom w:val="single" w:color="auto" w:sz="4" w:space="0"/>
              <w:right w:val="single" w:color="auto" w:sz="4" w:space="0"/>
            </w:tcBorders>
            <w:vAlign w:val="center"/>
          </w:tcPr>
          <w:p w14:paraId="520187EA">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提出单位</w:t>
            </w:r>
          </w:p>
          <w:p w14:paraId="02DB75A8">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(写全称)</w:t>
            </w:r>
          </w:p>
        </w:tc>
        <w:tc>
          <w:tcPr>
            <w:tcW w:w="1243" w:type="dxa"/>
            <w:tcBorders>
              <w:top w:val="single" w:color="auto" w:sz="4" w:space="0"/>
              <w:left w:val="single" w:color="auto" w:sz="4" w:space="0"/>
              <w:bottom w:val="single" w:color="auto" w:sz="4" w:space="0"/>
              <w:right w:val="single" w:color="auto" w:sz="4" w:space="0"/>
            </w:tcBorders>
            <w:vAlign w:val="center"/>
          </w:tcPr>
          <w:p w14:paraId="007EF730">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处理意见</w:t>
            </w:r>
          </w:p>
        </w:tc>
        <w:tc>
          <w:tcPr>
            <w:tcW w:w="1577" w:type="dxa"/>
            <w:tcBorders>
              <w:top w:val="single" w:color="auto" w:sz="4" w:space="0"/>
              <w:left w:val="single" w:color="auto" w:sz="4" w:space="0"/>
              <w:bottom w:val="single" w:color="auto" w:sz="4" w:space="0"/>
              <w:right w:val="single" w:color="auto" w:sz="4" w:space="0"/>
            </w:tcBorders>
            <w:vAlign w:val="center"/>
          </w:tcPr>
          <w:p w14:paraId="70A616A6">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备注</w:t>
            </w:r>
          </w:p>
        </w:tc>
      </w:tr>
      <w:tr w14:paraId="7D84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8" w:hRule="atLeast"/>
        </w:trPr>
        <w:tc>
          <w:tcPr>
            <w:tcW w:w="678" w:type="dxa"/>
            <w:tcBorders>
              <w:top w:val="single" w:color="auto" w:sz="4" w:space="0"/>
              <w:left w:val="single" w:color="auto" w:sz="4" w:space="0"/>
              <w:bottom w:val="single" w:color="auto" w:sz="4" w:space="0"/>
              <w:right w:val="single" w:color="auto" w:sz="4" w:space="0"/>
            </w:tcBorders>
            <w:vAlign w:val="center"/>
          </w:tcPr>
          <w:p w14:paraId="32F4C416">
            <w:pPr>
              <w:spacing w:line="360" w:lineRule="auto"/>
              <w:jc w:val="center"/>
              <w:rPr>
                <w:rFonts w:hint="eastAsia" w:ascii="仿宋_GB2312" w:hAnsi="仿宋_GB2312" w:eastAsia="仿宋_GB2312" w:cs="仿宋_GB2312"/>
                <w:sz w:val="24"/>
                <w:lang w:val="en-US" w:eastAsia="zh-CN"/>
              </w:rPr>
            </w:pPr>
          </w:p>
        </w:tc>
        <w:tc>
          <w:tcPr>
            <w:tcW w:w="1050" w:type="dxa"/>
            <w:tcBorders>
              <w:top w:val="single" w:color="auto" w:sz="4" w:space="0"/>
              <w:left w:val="single" w:color="auto" w:sz="4" w:space="0"/>
              <w:bottom w:val="single" w:color="auto" w:sz="4" w:space="0"/>
              <w:right w:val="single" w:color="auto" w:sz="4" w:space="0"/>
            </w:tcBorders>
            <w:vAlign w:val="center"/>
          </w:tcPr>
          <w:p w14:paraId="205909DB">
            <w:pPr>
              <w:spacing w:line="360" w:lineRule="auto"/>
              <w:jc w:val="center"/>
              <w:rPr>
                <w:rFonts w:hint="eastAsia" w:ascii="仿宋_GB2312" w:hAnsi="仿宋_GB2312" w:eastAsia="仿宋_GB2312" w:cs="仿宋_GB2312"/>
                <w:sz w:val="24"/>
                <w:lang w:val="en-US" w:eastAsia="zh-CN"/>
              </w:rPr>
            </w:pPr>
          </w:p>
        </w:tc>
        <w:tc>
          <w:tcPr>
            <w:tcW w:w="2351" w:type="dxa"/>
            <w:tcBorders>
              <w:top w:val="single" w:color="auto" w:sz="4" w:space="0"/>
              <w:left w:val="single" w:color="auto" w:sz="4" w:space="0"/>
              <w:bottom w:val="single" w:color="auto" w:sz="4" w:space="0"/>
              <w:right w:val="single" w:color="auto" w:sz="4" w:space="0"/>
            </w:tcBorders>
            <w:vAlign w:val="center"/>
          </w:tcPr>
          <w:p w14:paraId="1F4AB905">
            <w:pPr>
              <w:spacing w:line="360" w:lineRule="auto"/>
              <w:jc w:val="both"/>
              <w:rPr>
                <w:rFonts w:hint="eastAsia" w:ascii="仿宋_GB2312" w:hAnsi="仿宋_GB2312"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14:paraId="62985876">
            <w:pPr>
              <w:spacing w:line="360" w:lineRule="auto"/>
              <w:jc w:val="center"/>
              <w:rPr>
                <w:rFonts w:hint="eastAsia" w:ascii="仿宋_GB2312" w:hAnsi="仿宋_GB2312" w:eastAsia="仿宋_GB2312" w:cs="仿宋_GB2312"/>
                <w:sz w:val="24"/>
              </w:rPr>
            </w:pPr>
          </w:p>
        </w:tc>
        <w:tc>
          <w:tcPr>
            <w:tcW w:w="1243" w:type="dxa"/>
            <w:tcBorders>
              <w:top w:val="single" w:color="auto" w:sz="4" w:space="0"/>
              <w:left w:val="single" w:color="auto" w:sz="4" w:space="0"/>
              <w:bottom w:val="single" w:color="auto" w:sz="4" w:space="0"/>
              <w:right w:val="single" w:color="auto" w:sz="4" w:space="0"/>
            </w:tcBorders>
            <w:vAlign w:val="center"/>
          </w:tcPr>
          <w:p w14:paraId="07CE5707">
            <w:pPr>
              <w:spacing w:line="360" w:lineRule="auto"/>
              <w:jc w:val="center"/>
              <w:rPr>
                <w:rFonts w:hint="eastAsia" w:ascii="仿宋_GB2312" w:hAnsi="仿宋_GB2312" w:eastAsia="仿宋_GB2312" w:cs="仿宋_GB2312"/>
                <w:sz w:val="24"/>
                <w:lang w:eastAsia="zh-CN"/>
              </w:rPr>
            </w:pPr>
          </w:p>
        </w:tc>
        <w:tc>
          <w:tcPr>
            <w:tcW w:w="1577" w:type="dxa"/>
            <w:tcBorders>
              <w:top w:val="single" w:color="auto" w:sz="4" w:space="0"/>
              <w:left w:val="single" w:color="auto" w:sz="4" w:space="0"/>
              <w:bottom w:val="single" w:color="auto" w:sz="4" w:space="0"/>
              <w:right w:val="single" w:color="auto" w:sz="4" w:space="0"/>
            </w:tcBorders>
            <w:vAlign w:val="center"/>
          </w:tcPr>
          <w:p w14:paraId="4C60DCE1">
            <w:pPr>
              <w:spacing w:line="360" w:lineRule="auto"/>
              <w:jc w:val="both"/>
              <w:rPr>
                <w:rFonts w:hint="eastAsia" w:ascii="仿宋_GB2312" w:hAnsi="仿宋_GB2312" w:eastAsia="仿宋_GB2312" w:cs="仿宋_GB2312"/>
                <w:sz w:val="24"/>
                <w:lang w:eastAsia="zh-CN"/>
              </w:rPr>
            </w:pPr>
          </w:p>
        </w:tc>
      </w:tr>
    </w:tbl>
    <w:p w14:paraId="1ABDB75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、其它应予说明的事项</w:t>
      </w:r>
    </w:p>
    <w:p w14:paraId="4E01B292">
      <w:pPr>
        <w:tabs>
          <w:tab w:val="left" w:pos="2373"/>
        </w:tabs>
        <w:bidi w:val="0"/>
        <w:ind w:firstLine="640" w:firstLineChars="200"/>
        <w:jc w:val="both"/>
        <w:rPr>
          <w:lang w:val="en-US" w:eastAsia="zh-CN"/>
        </w:rPr>
      </w:pPr>
      <w:r>
        <w:rPr>
          <w:rFonts w:hint="eastAsia" w:ascii="仿宋_GB2312" w:eastAsia="仿宋_GB2312"/>
          <w:sz w:val="32"/>
          <w:szCs w:val="32"/>
        </w:rPr>
        <w:t>本标准适用于</w:t>
      </w:r>
      <w:r>
        <w:rPr>
          <w:rFonts w:hint="eastAsia" w:ascii="仿宋_GB2312" w:eastAsia="仿宋_GB2312"/>
          <w:sz w:val="32"/>
          <w:szCs w:val="32"/>
          <w:lang w:eastAsia="zh-CN"/>
        </w:rPr>
        <w:t>深圳市农产品质量提升联盟</w:t>
      </w:r>
      <w:r>
        <w:rPr>
          <w:rFonts w:hint="eastAsia" w:ascii="仿宋_GB2312" w:eastAsia="仿宋_GB2312"/>
          <w:sz w:val="32"/>
          <w:szCs w:val="32"/>
        </w:rPr>
        <w:t>高品质</w:t>
      </w:r>
      <w:r>
        <w:rPr>
          <w:rFonts w:hint="eastAsia" w:eastAsia="仿宋_GB2312" w:cs="Times New Roman"/>
          <w:sz w:val="32"/>
          <w:szCs w:val="32"/>
          <w:highlight w:val="none"/>
          <w:lang w:val="en-US" w:eastAsia="zh-CN"/>
        </w:rPr>
        <w:t>西兰花</w:t>
      </w:r>
      <w:r>
        <w:rPr>
          <w:rFonts w:hint="eastAsia" w:ascii="仿宋_GB2312" w:eastAsia="仿宋_GB2312"/>
          <w:sz w:val="32"/>
          <w:szCs w:val="32"/>
        </w:rPr>
        <w:t>，</w:t>
      </w:r>
      <w:r>
        <w:rPr>
          <w:rFonts w:hint="eastAsia" w:ascii="仿宋_GB2312" w:eastAsia="仿宋_GB2312"/>
          <w:sz w:val="32"/>
          <w:szCs w:val="32"/>
          <w:lang w:eastAsia="zh-CN"/>
        </w:rPr>
        <w:t>品质分级</w:t>
      </w:r>
      <w:r>
        <w:rPr>
          <w:rFonts w:hint="eastAsia" w:ascii="仿宋_GB2312" w:eastAsia="仿宋_GB2312"/>
          <w:sz w:val="32"/>
          <w:szCs w:val="32"/>
        </w:rPr>
        <w:t>项目及指标将每年根据</w:t>
      </w:r>
      <w:r>
        <w:rPr>
          <w:rFonts w:hint="eastAsia" w:ascii="仿宋_GB2312" w:eastAsia="仿宋_GB2312"/>
          <w:sz w:val="32"/>
          <w:szCs w:val="32"/>
          <w:lang w:eastAsia="zh-CN"/>
        </w:rPr>
        <w:t>国内</w:t>
      </w:r>
      <w:r>
        <w:rPr>
          <w:rFonts w:hint="eastAsia" w:eastAsia="仿宋_GB2312" w:cs="Times New Roman"/>
          <w:sz w:val="32"/>
          <w:szCs w:val="32"/>
          <w:highlight w:val="none"/>
          <w:lang w:val="en-US" w:eastAsia="zh-CN"/>
        </w:rPr>
        <w:t>西兰花</w:t>
      </w:r>
      <w:r>
        <w:rPr>
          <w:rFonts w:hint="eastAsia" w:ascii="仿宋_GB2312" w:eastAsia="仿宋_GB2312"/>
          <w:sz w:val="32"/>
          <w:szCs w:val="32"/>
        </w:rPr>
        <w:t>相关</w:t>
      </w:r>
      <w:r>
        <w:rPr>
          <w:rFonts w:hint="eastAsia" w:ascii="仿宋_GB2312" w:eastAsia="仿宋_GB2312"/>
          <w:sz w:val="32"/>
          <w:szCs w:val="32"/>
          <w:lang w:eastAsia="zh-CN"/>
        </w:rPr>
        <w:t>标准</w:t>
      </w:r>
      <w:r>
        <w:rPr>
          <w:rFonts w:hint="eastAsia" w:ascii="仿宋_GB2312" w:eastAsia="仿宋_GB2312"/>
          <w:sz w:val="32"/>
          <w:szCs w:val="32"/>
        </w:rPr>
        <w:t>要求的变更进行相应调整</w:t>
      </w:r>
      <w:r>
        <w:rPr>
          <w:rFonts w:hint="eastAsia" w:ascii="仿宋_GB2312" w:eastAsia="仿宋_GB2312"/>
          <w:sz w:val="32"/>
          <w:szCs w:val="32"/>
          <w:lang w:eastAsia="zh-CN"/>
        </w:rPr>
        <w:t>。</w:t>
      </w:r>
    </w:p>
    <w:p w14:paraId="2EE4D27A"/>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436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D948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FD948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64A20"/>
    <w:multiLevelType w:val="singleLevel"/>
    <w:tmpl w:val="A3664A20"/>
    <w:lvl w:ilvl="0" w:tentative="0">
      <w:start w:val="1"/>
      <w:numFmt w:val="decimal"/>
      <w:suff w:val="nothing"/>
      <w:lvlText w:val="（%1）"/>
      <w:lvlJc w:val="left"/>
    </w:lvl>
  </w:abstractNum>
  <w:abstractNum w:abstractNumId="1">
    <w:nsid w:val="BB1EFE31"/>
    <w:multiLevelType w:val="singleLevel"/>
    <w:tmpl w:val="BB1EFE31"/>
    <w:lvl w:ilvl="0" w:tentative="0">
      <w:start w:val="2"/>
      <w:numFmt w:val="chineseCounting"/>
      <w:suff w:val="nothing"/>
      <w:lvlText w:val="（%1）"/>
      <w:lvlJc w:val="left"/>
      <w:rPr>
        <w:rFonts w:hint="eastAsia"/>
      </w:rPr>
    </w:lvl>
  </w:abstractNum>
  <w:abstractNum w:abstractNumId="2">
    <w:nsid w:val="EA02FFF4"/>
    <w:multiLevelType w:val="singleLevel"/>
    <w:tmpl w:val="EA02FFF4"/>
    <w:lvl w:ilvl="0" w:tentative="0">
      <w:start w:val="1"/>
      <w:numFmt w:val="chineseCounting"/>
      <w:suff w:val="nothing"/>
      <w:lvlText w:val="（%1）"/>
      <w:lvlJc w:val="left"/>
      <w:pPr>
        <w:ind w:left="640" w:leftChars="0" w:firstLine="0" w:firstLineChars="0"/>
      </w:pPr>
      <w:rPr>
        <w:rFonts w:hint="eastAsia"/>
      </w:rPr>
    </w:lvl>
  </w:abstractNum>
  <w:abstractNum w:abstractNumId="3">
    <w:nsid w:val="032E5610"/>
    <w:multiLevelType w:val="singleLevel"/>
    <w:tmpl w:val="032E5610"/>
    <w:lvl w:ilvl="0" w:tentative="0">
      <w:start w:val="2"/>
      <w:numFmt w:val="chineseCounting"/>
      <w:suff w:val="nothing"/>
      <w:lvlText w:val="%1、"/>
      <w:lvlJc w:val="left"/>
      <w:rPr>
        <w:rFonts w:hint="eastAsia"/>
      </w:rPr>
    </w:lvl>
  </w:abstractNum>
  <w:abstractNum w:abstractNumId="4">
    <w:nsid w:val="408D83F7"/>
    <w:multiLevelType w:val="singleLevel"/>
    <w:tmpl w:val="408D83F7"/>
    <w:lvl w:ilvl="0" w:tentative="0">
      <w:start w:val="2"/>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F271F"/>
    <w:rsid w:val="08C036EE"/>
    <w:rsid w:val="16E444D9"/>
    <w:rsid w:val="172F7046"/>
    <w:rsid w:val="3D021864"/>
    <w:rsid w:val="4BAF2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3242</Words>
  <Characters>3577</Characters>
  <Lines>0</Lines>
  <Paragraphs>0</Paragraphs>
  <TotalTime>4</TotalTime>
  <ScaleCrop>false</ScaleCrop>
  <LinksUpToDate>false</LinksUpToDate>
  <CharactersWithSpaces>3638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2025-08-18T16:38:00Z</dcterms:created>
  <dc:creator>CTT.</dc:creator>
  <cp:lastModifiedBy>CTT.</cp:lastModifiedBy>
  <dcterms:modified xsi:type="dcterms:W3CDTF">2025-08-20T04:17:24Z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E948A09327324F89B9E3669B9EE20703_11</vt:lpwstr>
  </property>
  <property fmtid="{D5CDD505-2E9C-101B-9397-08002B2CF9AE}" pid="4" name="KSOTemplateDocerSaveRecord">
    <vt:lpwstr>eyJoZGlkIjoiODViY2JkMjU3NGYzZTEwMzZmMGFkZWViYmNkYWU3NDIiLCJ1c2VySWQiOiIzMTc0MjkyOTkifQ==</vt:lpwstr>
  </property>
</Properties>
</file>